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1"/>
        <w:gridCol w:w="3095"/>
        <w:gridCol w:w="3139"/>
      </w:tblGrid>
      <w:tr w:rsidR="00070DF0" w:rsidRPr="005550AF" w14:paraId="773C0C07" w14:textId="77777777" w:rsidTr="00497FFE">
        <w:tc>
          <w:tcPr>
            <w:tcW w:w="3111" w:type="dxa"/>
          </w:tcPr>
          <w:p w14:paraId="10F45F5E" w14:textId="77777777" w:rsidR="00070DF0" w:rsidRPr="005550AF" w:rsidRDefault="00070DF0" w:rsidP="00497FFE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5550AF">
              <w:rPr>
                <w:b/>
                <w:sz w:val="23"/>
                <w:szCs w:val="23"/>
              </w:rPr>
              <w:t>Наименование категории (группы) универсальных компетенций</w:t>
            </w:r>
          </w:p>
        </w:tc>
        <w:tc>
          <w:tcPr>
            <w:tcW w:w="3095" w:type="dxa"/>
          </w:tcPr>
          <w:p w14:paraId="09FB4B94" w14:textId="77777777" w:rsidR="00070DF0" w:rsidRPr="005550AF" w:rsidRDefault="00070DF0" w:rsidP="00497FFE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5550AF">
              <w:rPr>
                <w:b/>
                <w:sz w:val="23"/>
                <w:szCs w:val="23"/>
              </w:rPr>
              <w:t>Код и наименование универсальной компетенции выпускника</w:t>
            </w:r>
          </w:p>
        </w:tc>
        <w:tc>
          <w:tcPr>
            <w:tcW w:w="3139" w:type="dxa"/>
          </w:tcPr>
          <w:p w14:paraId="088F299C" w14:textId="77777777" w:rsidR="00070DF0" w:rsidRPr="005550AF" w:rsidRDefault="00070DF0" w:rsidP="00497FFE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5550AF">
              <w:rPr>
                <w:b/>
                <w:sz w:val="23"/>
                <w:szCs w:val="23"/>
              </w:rPr>
              <w:t>Индикаторы достижения компетенций</w:t>
            </w:r>
          </w:p>
        </w:tc>
      </w:tr>
      <w:tr w:rsidR="00070DF0" w:rsidRPr="005C5B3D" w14:paraId="13F00204" w14:textId="77777777" w:rsidTr="00497FFE">
        <w:trPr>
          <w:trHeight w:val="486"/>
        </w:trPr>
        <w:tc>
          <w:tcPr>
            <w:tcW w:w="3111" w:type="dxa"/>
            <w:vMerge w:val="restart"/>
          </w:tcPr>
          <w:p w14:paraId="55A657E3" w14:textId="77777777" w:rsidR="00070DF0" w:rsidRPr="005550AF" w:rsidRDefault="00070DF0" w:rsidP="00497FFE">
            <w:pPr>
              <w:spacing w:line="240" w:lineRule="auto"/>
              <w:ind w:firstLine="0"/>
              <w:rPr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Системное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и </w:t>
            </w:r>
          </w:p>
          <w:p w14:paraId="6986764E" w14:textId="77777777" w:rsidR="00070DF0" w:rsidRPr="005550AF" w:rsidRDefault="00070DF0" w:rsidP="00497FFE">
            <w:pPr>
              <w:spacing w:line="240" w:lineRule="auto"/>
              <w:ind w:left="2" w:firstLine="0"/>
              <w:rPr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критическое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мышление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095" w:type="dxa"/>
            <w:vMerge w:val="restart"/>
          </w:tcPr>
          <w:p w14:paraId="66757C2E" w14:textId="77777777" w:rsidR="00070DF0" w:rsidRPr="005550AF" w:rsidRDefault="00070DF0" w:rsidP="00497FFE">
            <w:pPr>
              <w:spacing w:line="240" w:lineRule="auto"/>
              <w:ind w:right="61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УК-1. 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3139" w:type="dxa"/>
          </w:tcPr>
          <w:p w14:paraId="4429D57D" w14:textId="77777777" w:rsidR="00070DF0" w:rsidRPr="005550AF" w:rsidRDefault="00070DF0" w:rsidP="00497FFE">
            <w:pPr>
              <w:spacing w:line="240" w:lineRule="auto"/>
              <w:ind w:right="62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УК-1.1. Критически анализирует проблемную ситуацию как систему, выявляя ее составляющие и связи между ними. </w:t>
            </w:r>
          </w:p>
        </w:tc>
      </w:tr>
      <w:tr w:rsidR="00070DF0" w:rsidRPr="005C5B3D" w14:paraId="6BF9ED9E" w14:textId="77777777" w:rsidTr="00497FFE">
        <w:trPr>
          <w:trHeight w:val="483"/>
        </w:trPr>
        <w:tc>
          <w:tcPr>
            <w:tcW w:w="3111" w:type="dxa"/>
            <w:vMerge/>
            <w:vAlign w:val="bottom"/>
          </w:tcPr>
          <w:p w14:paraId="798A129D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40F915F5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2ECC3AD6" w14:textId="77777777" w:rsidR="00070DF0" w:rsidRPr="005550AF" w:rsidRDefault="00070DF0" w:rsidP="00497FFE">
            <w:pPr>
              <w:spacing w:line="240" w:lineRule="auto"/>
              <w:ind w:firstLine="0"/>
              <w:rPr>
                <w:sz w:val="23"/>
                <w:szCs w:val="23"/>
                <w:lang w:val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УК-1.2. Проводит научные исследования в профессиональной сфере на высоком философско-методологическом уровне. </w:t>
            </w:r>
          </w:p>
        </w:tc>
      </w:tr>
      <w:tr w:rsidR="00070DF0" w:rsidRPr="005C5B3D" w14:paraId="4EC832F8" w14:textId="77777777" w:rsidTr="00497FFE">
        <w:trPr>
          <w:trHeight w:val="483"/>
        </w:trPr>
        <w:tc>
          <w:tcPr>
            <w:tcW w:w="3111" w:type="dxa"/>
            <w:vMerge/>
            <w:vAlign w:val="center"/>
          </w:tcPr>
          <w:p w14:paraId="6E1DCA58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07E88D3B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7F7EBC43" w14:textId="77777777" w:rsidR="00070DF0" w:rsidRPr="005550AF" w:rsidRDefault="00070DF0" w:rsidP="00497FFE">
            <w:pPr>
              <w:spacing w:line="240" w:lineRule="auto"/>
              <w:ind w:right="58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УК-1.3. На основе системного подхода ориентируется в </w:t>
            </w:r>
          </w:p>
          <w:p w14:paraId="3C096082" w14:textId="77777777" w:rsidR="00070DF0" w:rsidRPr="005550AF" w:rsidRDefault="00070DF0" w:rsidP="00497FFE">
            <w:pPr>
              <w:spacing w:line="240" w:lineRule="auto"/>
              <w:ind w:firstLine="0"/>
              <w:rPr>
                <w:sz w:val="23"/>
                <w:szCs w:val="23"/>
                <w:lang w:val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перспективных направлениях профильных отраслей науки, актуальных проблемах теории и практики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ab/>
              <w:t xml:space="preserve">в профессиональной сфере и путях их решения. </w:t>
            </w:r>
          </w:p>
        </w:tc>
      </w:tr>
      <w:tr w:rsidR="00070DF0" w:rsidRPr="005C5B3D" w14:paraId="082CCA1F" w14:textId="77777777" w:rsidTr="00497FFE">
        <w:trPr>
          <w:trHeight w:val="483"/>
        </w:trPr>
        <w:tc>
          <w:tcPr>
            <w:tcW w:w="3111" w:type="dxa"/>
            <w:vMerge/>
          </w:tcPr>
          <w:p w14:paraId="71582277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5D2F2F48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7635C754" w14:textId="77777777" w:rsidR="00070DF0" w:rsidRPr="005550AF" w:rsidRDefault="00070DF0" w:rsidP="00497FFE">
            <w:pPr>
              <w:spacing w:line="240" w:lineRule="auto"/>
              <w:ind w:firstLine="0"/>
              <w:rPr>
                <w:sz w:val="23"/>
                <w:szCs w:val="23"/>
                <w:lang w:val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УК-1.4. Осуществляет поиск вариантов решения поставленной проблемной ситуации на основе доступных источников информации, выбирает методы критического анализа, адекватные проблемной ситуации, и определяет достоверность получаемой информации, разрабатывает стратегию достижения поставленной цели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ab/>
              <w:t xml:space="preserve">как  </w:t>
            </w:r>
            <w:proofErr w:type="spellStart"/>
            <w:r w:rsidRPr="005550AF">
              <w:rPr>
                <w:color w:val="000000"/>
                <w:sz w:val="23"/>
                <w:szCs w:val="23"/>
                <w:lang w:val="ru-RU" w:eastAsia="ru-RU"/>
              </w:rPr>
              <w:t>оследовательность</w:t>
            </w:r>
            <w:proofErr w:type="spellEnd"/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 шагов, предвидя результат каждого из них и оценивая их влияние на общий результат планируемой деятельности. </w:t>
            </w:r>
          </w:p>
        </w:tc>
      </w:tr>
      <w:tr w:rsidR="00070DF0" w:rsidRPr="005C5B3D" w14:paraId="71E7B8D1" w14:textId="77777777" w:rsidTr="00497FFE">
        <w:trPr>
          <w:trHeight w:val="370"/>
        </w:trPr>
        <w:tc>
          <w:tcPr>
            <w:tcW w:w="3111" w:type="dxa"/>
            <w:vMerge w:val="restart"/>
          </w:tcPr>
          <w:p w14:paraId="3952AA41" w14:textId="77777777" w:rsidR="00070DF0" w:rsidRPr="005550AF" w:rsidRDefault="00070DF0" w:rsidP="00497FFE">
            <w:pPr>
              <w:tabs>
                <w:tab w:val="center" w:pos="0"/>
                <w:tab w:val="center" w:pos="64"/>
              </w:tabs>
              <w:spacing w:line="240" w:lineRule="auto"/>
              <w:ind w:firstLine="0"/>
              <w:rPr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Разработка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5550AF">
              <w:rPr>
                <w:rFonts w:cs="Calibri"/>
                <w:color w:val="000000"/>
                <w:sz w:val="23"/>
                <w:szCs w:val="23"/>
                <w:lang w:eastAsia="ru-RU"/>
              </w:rPr>
              <w:tab/>
            </w:r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и </w:t>
            </w:r>
            <w:r w:rsidRPr="005550AF">
              <w:rPr>
                <w:color w:val="000000"/>
                <w:sz w:val="23"/>
                <w:szCs w:val="23"/>
                <w:lang w:eastAsia="ru-RU"/>
              </w:rPr>
              <w:tab/>
            </w:r>
          </w:p>
          <w:p w14:paraId="335A52C9" w14:textId="77777777" w:rsidR="00070DF0" w:rsidRPr="005550AF" w:rsidRDefault="00070DF0" w:rsidP="00497FFE">
            <w:pPr>
              <w:spacing w:line="240" w:lineRule="auto"/>
              <w:ind w:firstLine="0"/>
              <w:rPr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реализация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проектов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095" w:type="dxa"/>
            <w:vMerge w:val="restart"/>
          </w:tcPr>
          <w:p w14:paraId="2B26B453" w14:textId="77777777" w:rsidR="00070DF0" w:rsidRPr="005550AF" w:rsidRDefault="00070DF0" w:rsidP="00497FFE">
            <w:pPr>
              <w:spacing w:line="240" w:lineRule="auto"/>
              <w:ind w:left="106" w:right="62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УК-2. Способен управлять проектом на всех этапах его жизненного цикла </w:t>
            </w:r>
          </w:p>
        </w:tc>
        <w:tc>
          <w:tcPr>
            <w:tcW w:w="3139" w:type="dxa"/>
          </w:tcPr>
          <w:p w14:paraId="06E09CB0" w14:textId="77777777" w:rsidR="00070DF0" w:rsidRPr="005550AF" w:rsidRDefault="00070DF0" w:rsidP="00497FFE">
            <w:pPr>
              <w:spacing w:line="240" w:lineRule="auto"/>
              <w:ind w:left="106" w:right="60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УК-2.1. Определяет проблему, на решение которой направлен проект, цель и задачи проекта, приоритеты, результаты, этапы, ресурсы и ограничения в реализации проекта, способы и этапы решения конкретных задач проекта. </w:t>
            </w:r>
          </w:p>
        </w:tc>
      </w:tr>
      <w:tr w:rsidR="00070DF0" w:rsidRPr="005C5B3D" w14:paraId="040E058D" w14:textId="77777777" w:rsidTr="00497FFE">
        <w:trPr>
          <w:trHeight w:val="370"/>
        </w:trPr>
        <w:tc>
          <w:tcPr>
            <w:tcW w:w="3111" w:type="dxa"/>
            <w:vMerge/>
          </w:tcPr>
          <w:p w14:paraId="61AA228F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56FCB2DF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3766F692" w14:textId="77777777" w:rsidR="00070DF0" w:rsidRPr="005550AF" w:rsidRDefault="00070DF0" w:rsidP="00497FF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УК-2.2. Разрабатывает план его реализации, контролирует его </w:t>
            </w:r>
            <w:r w:rsidRPr="005550AF">
              <w:rPr>
                <w:color w:val="000000"/>
                <w:sz w:val="23"/>
                <w:szCs w:val="23"/>
              </w:rPr>
              <w:lastRenderedPageBreak/>
              <w:t xml:space="preserve">исполнение, управляет им на всех этапах жизненного цикла, оценивать эффективность его реализации. </w:t>
            </w:r>
          </w:p>
        </w:tc>
      </w:tr>
      <w:tr w:rsidR="00070DF0" w:rsidRPr="005C5B3D" w14:paraId="12601831" w14:textId="77777777" w:rsidTr="00497FFE">
        <w:trPr>
          <w:trHeight w:val="370"/>
        </w:trPr>
        <w:tc>
          <w:tcPr>
            <w:tcW w:w="3111" w:type="dxa"/>
            <w:vMerge/>
          </w:tcPr>
          <w:p w14:paraId="28F7A2C7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3F2C7ABE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286DABAF" w14:textId="77777777" w:rsidR="00070DF0" w:rsidRPr="005550AF" w:rsidRDefault="00070DF0" w:rsidP="00497FF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УК-2.3. Представляет и обсуждает финансово-экономические результаты реализации проекта (отдельных его этапов) в различных формах. </w:t>
            </w:r>
          </w:p>
        </w:tc>
      </w:tr>
      <w:tr w:rsidR="00070DF0" w:rsidRPr="005C5B3D" w14:paraId="377FAA17" w14:textId="77777777" w:rsidTr="00497FFE">
        <w:trPr>
          <w:trHeight w:val="645"/>
        </w:trPr>
        <w:tc>
          <w:tcPr>
            <w:tcW w:w="3111" w:type="dxa"/>
            <w:vMerge w:val="restart"/>
          </w:tcPr>
          <w:p w14:paraId="0B8CCB72" w14:textId="77777777" w:rsidR="00070DF0" w:rsidRPr="005550AF" w:rsidRDefault="00070DF0" w:rsidP="00497FFE">
            <w:pPr>
              <w:spacing w:line="240" w:lineRule="auto"/>
              <w:ind w:left="108" w:firstLine="0"/>
              <w:rPr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5550AF">
              <w:rPr>
                <w:color w:val="000000"/>
                <w:sz w:val="23"/>
                <w:szCs w:val="23"/>
                <w:lang w:eastAsia="ru-RU"/>
              </w:rPr>
              <w:t>Командная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 </w:t>
            </w: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работа</w:t>
            </w:r>
            <w:proofErr w:type="spellEnd"/>
            <w:proofErr w:type="gramEnd"/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 </w:t>
            </w:r>
            <w:r w:rsidRPr="005550AF">
              <w:rPr>
                <w:rFonts w:cs="Calibri"/>
                <w:color w:val="000000"/>
                <w:sz w:val="23"/>
                <w:szCs w:val="23"/>
                <w:lang w:eastAsia="ru-RU"/>
              </w:rPr>
              <w:tab/>
            </w:r>
            <w:r w:rsidRPr="005550AF">
              <w:rPr>
                <w:color w:val="000000"/>
                <w:sz w:val="23"/>
                <w:szCs w:val="23"/>
                <w:lang w:eastAsia="ru-RU"/>
              </w:rPr>
              <w:tab/>
              <w:t xml:space="preserve">и </w:t>
            </w: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лидерство</w:t>
            </w:r>
            <w:proofErr w:type="spellEnd"/>
          </w:p>
        </w:tc>
        <w:tc>
          <w:tcPr>
            <w:tcW w:w="3095" w:type="dxa"/>
            <w:vMerge w:val="restart"/>
          </w:tcPr>
          <w:p w14:paraId="33659E5F" w14:textId="77777777" w:rsidR="00070DF0" w:rsidRPr="005550AF" w:rsidRDefault="00070DF0" w:rsidP="00497FFE">
            <w:pPr>
              <w:spacing w:line="240" w:lineRule="auto"/>
              <w:ind w:left="106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УК-3.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ab/>
              <w:t xml:space="preserve">Способен организовывать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ab/>
              <w:t xml:space="preserve">и руководить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ab/>
              <w:t xml:space="preserve">работой команды,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ab/>
              <w:t xml:space="preserve">вырабатывая командную стратегию для достижения поставленной цели </w:t>
            </w:r>
          </w:p>
        </w:tc>
        <w:tc>
          <w:tcPr>
            <w:tcW w:w="3139" w:type="dxa"/>
          </w:tcPr>
          <w:p w14:paraId="5C7960B3" w14:textId="77777777" w:rsidR="00070DF0" w:rsidRPr="005550AF" w:rsidRDefault="00070DF0" w:rsidP="00497FFE">
            <w:pPr>
              <w:spacing w:line="240" w:lineRule="auto"/>
              <w:ind w:left="31" w:right="59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УК-3.1. Подбирает и формирует команду, распределяет обязанности, функции, задачи между ее членами, определяет конкретных исполнителей, руководить их работой, координирует и контролирует работу членов команды. </w:t>
            </w:r>
          </w:p>
        </w:tc>
      </w:tr>
      <w:tr w:rsidR="00070DF0" w:rsidRPr="005C5B3D" w14:paraId="34EBBBDA" w14:textId="77777777" w:rsidTr="00497FFE">
        <w:trPr>
          <w:trHeight w:val="645"/>
        </w:trPr>
        <w:tc>
          <w:tcPr>
            <w:tcW w:w="3111" w:type="dxa"/>
            <w:vMerge/>
          </w:tcPr>
          <w:p w14:paraId="37ACFFE2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02E15E8B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1AF49B04" w14:textId="77777777" w:rsidR="00070DF0" w:rsidRPr="005550AF" w:rsidRDefault="00070DF0" w:rsidP="00497FFE">
            <w:pPr>
              <w:spacing w:line="240" w:lineRule="auto"/>
              <w:ind w:right="60" w:firstLine="0"/>
              <w:rPr>
                <w:sz w:val="23"/>
                <w:szCs w:val="23"/>
                <w:lang w:val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УК-3.2. Определяет правила командной работы, способы мотивации членов команды с учетом организационных и финансовых возможностей, а также личностных особенностей членов команды, стратегию взаимодействия членов команды, устанавливает разные виды коммуникации для руководства командой и достижения поставленной цели, решает конфликтные ситуации, возникшие в ходе работы команды. </w:t>
            </w:r>
          </w:p>
        </w:tc>
      </w:tr>
      <w:tr w:rsidR="00070DF0" w:rsidRPr="005C5B3D" w14:paraId="6155EF71" w14:textId="77777777" w:rsidTr="00497FFE">
        <w:trPr>
          <w:trHeight w:val="645"/>
        </w:trPr>
        <w:tc>
          <w:tcPr>
            <w:tcW w:w="3111" w:type="dxa"/>
            <w:vMerge/>
          </w:tcPr>
          <w:p w14:paraId="52926B0B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56215E76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5931AA0F" w14:textId="77777777" w:rsidR="00070DF0" w:rsidRPr="005550AF" w:rsidRDefault="00070DF0" w:rsidP="00497FF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УК-3.3. Вырабатывает командную стратегию для достижения поставленных целей, расставляет приоритеты и изменяет стратегию работы в зависимости от ситуации. </w:t>
            </w:r>
          </w:p>
        </w:tc>
      </w:tr>
      <w:tr w:rsidR="00070DF0" w:rsidRPr="005C5B3D" w14:paraId="70A29E58" w14:textId="77777777" w:rsidTr="00497FFE">
        <w:trPr>
          <w:trHeight w:val="1103"/>
        </w:trPr>
        <w:tc>
          <w:tcPr>
            <w:tcW w:w="3111" w:type="dxa"/>
            <w:vMerge w:val="restart"/>
          </w:tcPr>
          <w:p w14:paraId="38CFB4C4" w14:textId="77777777" w:rsidR="00070DF0" w:rsidRPr="005550AF" w:rsidRDefault="00070DF0" w:rsidP="00497FFE">
            <w:pPr>
              <w:spacing w:line="240" w:lineRule="auto"/>
              <w:ind w:left="2" w:hanging="2"/>
              <w:rPr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Коммуникация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095" w:type="dxa"/>
            <w:vMerge w:val="restart"/>
          </w:tcPr>
          <w:p w14:paraId="1356A091" w14:textId="77777777" w:rsidR="00070DF0" w:rsidRPr="005550AF" w:rsidRDefault="00070DF0" w:rsidP="00497FFE">
            <w:pPr>
              <w:spacing w:line="240" w:lineRule="auto"/>
              <w:ind w:right="63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5550AF">
              <w:rPr>
                <w:color w:val="000000"/>
                <w:sz w:val="23"/>
                <w:szCs w:val="23"/>
                <w:lang w:val="ru-RU" w:eastAsia="ru-RU"/>
              </w:rPr>
              <w:t>ых</w:t>
            </w:r>
            <w:proofErr w:type="spellEnd"/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) языке(ах), для академического и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lastRenderedPageBreak/>
              <w:t xml:space="preserve">профессионального взаимодействия </w:t>
            </w:r>
          </w:p>
        </w:tc>
        <w:tc>
          <w:tcPr>
            <w:tcW w:w="3139" w:type="dxa"/>
          </w:tcPr>
          <w:p w14:paraId="7D5A9A96" w14:textId="77777777" w:rsidR="00070DF0" w:rsidRPr="005550AF" w:rsidRDefault="00070DF0" w:rsidP="00497FFE">
            <w:pPr>
              <w:tabs>
                <w:tab w:val="center" w:pos="0"/>
                <w:tab w:val="center" w:pos="2334"/>
              </w:tabs>
              <w:spacing w:line="240" w:lineRule="auto"/>
              <w:ind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lastRenderedPageBreak/>
              <w:t xml:space="preserve">УК-4.1.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ab/>
              <w:t xml:space="preserve">Применяет </w:t>
            </w:r>
          </w:p>
          <w:p w14:paraId="17E96A60" w14:textId="77777777" w:rsidR="00070DF0" w:rsidRPr="005550AF" w:rsidRDefault="00070DF0" w:rsidP="00497FFE">
            <w:pPr>
              <w:tabs>
                <w:tab w:val="center" w:pos="0"/>
              </w:tabs>
              <w:spacing w:line="240" w:lineRule="auto"/>
              <w:ind w:right="62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Современные коммуникативные технологии на русском языке для академического и профессионального взаимодействия </w:t>
            </w:r>
          </w:p>
        </w:tc>
      </w:tr>
      <w:tr w:rsidR="00070DF0" w:rsidRPr="005C5B3D" w14:paraId="197EA140" w14:textId="77777777" w:rsidTr="00497FFE">
        <w:trPr>
          <w:trHeight w:val="1102"/>
        </w:trPr>
        <w:tc>
          <w:tcPr>
            <w:tcW w:w="3111" w:type="dxa"/>
            <w:vMerge/>
          </w:tcPr>
          <w:p w14:paraId="29A17C06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331FB4F1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626D5552" w14:textId="77777777" w:rsidR="00070DF0" w:rsidRPr="005550AF" w:rsidRDefault="00070DF0" w:rsidP="00497FFE">
            <w:pPr>
              <w:tabs>
                <w:tab w:val="center" w:pos="0"/>
                <w:tab w:val="center" w:pos="31"/>
              </w:tabs>
              <w:spacing w:line="240" w:lineRule="auto"/>
              <w:ind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УК-4.2.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ab/>
              <w:t xml:space="preserve">Применяет </w:t>
            </w:r>
          </w:p>
          <w:p w14:paraId="176F077A" w14:textId="77777777" w:rsidR="00070DF0" w:rsidRPr="005550AF" w:rsidRDefault="00070DF0" w:rsidP="00497FF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современные коммуникативные технологии на иностранном языке(языках) </w:t>
            </w:r>
            <w:r w:rsidRPr="005550AF">
              <w:rPr>
                <w:color w:val="000000"/>
                <w:sz w:val="23"/>
                <w:szCs w:val="23"/>
              </w:rPr>
              <w:tab/>
              <w:t xml:space="preserve">для академического </w:t>
            </w:r>
            <w:r w:rsidRPr="005550AF">
              <w:rPr>
                <w:color w:val="000000"/>
                <w:sz w:val="23"/>
                <w:szCs w:val="23"/>
              </w:rPr>
              <w:tab/>
              <w:t xml:space="preserve">и профессионального взаимодействия </w:t>
            </w:r>
          </w:p>
        </w:tc>
      </w:tr>
      <w:tr w:rsidR="00070DF0" w:rsidRPr="005C5B3D" w14:paraId="5C256880" w14:textId="77777777" w:rsidTr="00497FFE">
        <w:trPr>
          <w:trHeight w:val="460"/>
        </w:trPr>
        <w:tc>
          <w:tcPr>
            <w:tcW w:w="3111" w:type="dxa"/>
            <w:vMerge w:val="restart"/>
          </w:tcPr>
          <w:p w14:paraId="29FCC421" w14:textId="77777777" w:rsidR="00070DF0" w:rsidRPr="005550AF" w:rsidRDefault="00070DF0" w:rsidP="00497FFE">
            <w:pPr>
              <w:spacing w:line="240" w:lineRule="auto"/>
              <w:ind w:left="2" w:firstLine="0"/>
              <w:rPr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Межкультурное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5550AF">
              <w:rPr>
                <w:color w:val="000000"/>
                <w:sz w:val="23"/>
                <w:szCs w:val="23"/>
                <w:lang w:eastAsia="ru-RU"/>
              </w:rPr>
              <w:t>взаимодействие</w:t>
            </w:r>
            <w:proofErr w:type="spellEnd"/>
            <w:r w:rsidRPr="005550AF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095" w:type="dxa"/>
            <w:vMerge w:val="restart"/>
          </w:tcPr>
          <w:p w14:paraId="60FD0273" w14:textId="77777777" w:rsidR="00070DF0" w:rsidRPr="005550AF" w:rsidRDefault="00070DF0" w:rsidP="00497FFE">
            <w:pPr>
              <w:spacing w:line="240" w:lineRule="auto"/>
              <w:ind w:right="64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УК-5. Способен анализировать и учитывать разнообразие культур в процессе межкультурного взаимодействия </w:t>
            </w:r>
          </w:p>
        </w:tc>
        <w:tc>
          <w:tcPr>
            <w:tcW w:w="3139" w:type="dxa"/>
          </w:tcPr>
          <w:p w14:paraId="6553D529" w14:textId="7EBB84AE" w:rsidR="00070DF0" w:rsidRPr="005550AF" w:rsidRDefault="00070DF0" w:rsidP="00497FFE">
            <w:pPr>
              <w:spacing w:line="240" w:lineRule="auto"/>
              <w:ind w:right="60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УК-5.1. Адаптируется к условиям работы в составе многоэтничных </w:t>
            </w:r>
            <w:r w:rsidR="005C5B3D"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и </w:t>
            </w:r>
            <w:proofErr w:type="spellStart"/>
            <w:r w:rsidR="005C5B3D" w:rsidRPr="005550AF">
              <w:rPr>
                <w:color w:val="000000"/>
                <w:sz w:val="23"/>
                <w:szCs w:val="23"/>
                <w:lang w:val="ru-RU" w:eastAsia="ru-RU"/>
              </w:rPr>
              <w:t>поликонфессиональных</w:t>
            </w:r>
            <w:proofErr w:type="spellEnd"/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 групп. </w:t>
            </w:r>
          </w:p>
        </w:tc>
      </w:tr>
      <w:tr w:rsidR="00070DF0" w:rsidRPr="005550AF" w14:paraId="02C83A1C" w14:textId="77777777" w:rsidTr="00497FFE">
        <w:trPr>
          <w:trHeight w:val="460"/>
        </w:trPr>
        <w:tc>
          <w:tcPr>
            <w:tcW w:w="3111" w:type="dxa"/>
            <w:vMerge/>
          </w:tcPr>
          <w:p w14:paraId="2226D1D7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464CE8B1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0F87A200" w14:textId="77777777" w:rsidR="00070DF0" w:rsidRPr="005550AF" w:rsidRDefault="00070DF0" w:rsidP="00497FFE">
            <w:pPr>
              <w:spacing w:line="240" w:lineRule="auto"/>
              <w:ind w:right="59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УК-5.2. Конструктивно взаимодействует с людьми с учетом их социокультурных особенностей в целях успешного выполнения поставленных задач и усиления социальной интеграции, толерантно воспринимая социальные, этнические, </w:t>
            </w:r>
          </w:p>
          <w:p w14:paraId="615E895A" w14:textId="77777777" w:rsidR="00070DF0" w:rsidRPr="005550AF" w:rsidRDefault="00070DF0" w:rsidP="00497FF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конфессиональные и культурные различия. </w:t>
            </w:r>
          </w:p>
        </w:tc>
      </w:tr>
      <w:tr w:rsidR="00070DF0" w:rsidRPr="005550AF" w14:paraId="1F8075E5" w14:textId="77777777" w:rsidTr="00497FFE">
        <w:trPr>
          <w:trHeight w:val="460"/>
        </w:trPr>
        <w:tc>
          <w:tcPr>
            <w:tcW w:w="3111" w:type="dxa"/>
            <w:vMerge/>
          </w:tcPr>
          <w:p w14:paraId="5669F3AD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39B613D5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1923B703" w14:textId="77777777" w:rsidR="00070DF0" w:rsidRPr="005550AF" w:rsidRDefault="00070DF0" w:rsidP="00497FFE">
            <w:pPr>
              <w:tabs>
                <w:tab w:val="right" w:pos="2959"/>
              </w:tabs>
              <w:spacing w:line="240" w:lineRule="auto"/>
              <w:ind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УК-5.3. 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ab/>
              <w:t xml:space="preserve">Способен </w:t>
            </w:r>
          </w:p>
          <w:p w14:paraId="0A309F65" w14:textId="27C4399F" w:rsidR="00070DF0" w:rsidRPr="005550AF" w:rsidRDefault="00070DF0" w:rsidP="00497FFE">
            <w:pPr>
              <w:spacing w:line="240" w:lineRule="auto"/>
              <w:ind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преодолевать коммуникативные, образовательные, этнические, </w:t>
            </w:r>
            <w:r w:rsidR="005C5B3D" w:rsidRPr="005550AF">
              <w:rPr>
                <w:color w:val="000000"/>
                <w:sz w:val="23"/>
                <w:szCs w:val="23"/>
                <w:lang w:val="ru-RU" w:eastAsia="ru-RU"/>
              </w:rPr>
              <w:t>конфессиональные и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 финансовые барьеры для межкультурного взаимодействия и толерантно вести себя в </w:t>
            </w:r>
            <w:r w:rsidR="005C5B3D" w:rsidRPr="005550AF">
              <w:rPr>
                <w:color w:val="000000"/>
                <w:sz w:val="23"/>
                <w:szCs w:val="23"/>
                <w:lang w:val="ru-RU" w:eastAsia="ru-RU"/>
              </w:rPr>
              <w:t>поликультурном социуме</w:t>
            </w: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 </w:t>
            </w:r>
          </w:p>
          <w:p w14:paraId="065FAD1A" w14:textId="77777777" w:rsidR="00070DF0" w:rsidRPr="005550AF" w:rsidRDefault="00070DF0" w:rsidP="00497FF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(группе). </w:t>
            </w:r>
          </w:p>
        </w:tc>
      </w:tr>
      <w:tr w:rsidR="00070DF0" w:rsidRPr="005C5B3D" w14:paraId="38D3DAED" w14:textId="77777777" w:rsidTr="00497FFE">
        <w:trPr>
          <w:trHeight w:val="414"/>
        </w:trPr>
        <w:tc>
          <w:tcPr>
            <w:tcW w:w="3111" w:type="dxa"/>
            <w:vMerge w:val="restart"/>
          </w:tcPr>
          <w:p w14:paraId="1E37958E" w14:textId="77777777" w:rsidR="00070DF0" w:rsidRPr="005550AF" w:rsidRDefault="00070DF0" w:rsidP="00497FFE">
            <w:pPr>
              <w:spacing w:line="240" w:lineRule="auto"/>
              <w:ind w:left="2" w:right="63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Самоорганизация и саморазвитие (в том числе </w:t>
            </w:r>
            <w:proofErr w:type="spellStart"/>
            <w:r w:rsidRPr="005550AF">
              <w:rPr>
                <w:color w:val="000000"/>
                <w:sz w:val="23"/>
                <w:szCs w:val="23"/>
                <w:lang w:val="ru-RU" w:eastAsia="ru-RU"/>
              </w:rPr>
              <w:t>здоровьесбережение</w:t>
            </w:r>
            <w:proofErr w:type="spellEnd"/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) </w:t>
            </w:r>
          </w:p>
        </w:tc>
        <w:tc>
          <w:tcPr>
            <w:tcW w:w="3095" w:type="dxa"/>
            <w:vMerge w:val="restart"/>
          </w:tcPr>
          <w:p w14:paraId="55712760" w14:textId="77777777" w:rsidR="00070DF0" w:rsidRPr="005550AF" w:rsidRDefault="00070DF0" w:rsidP="00497FFE">
            <w:pPr>
              <w:spacing w:line="240" w:lineRule="auto"/>
              <w:ind w:right="62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</w:t>
            </w:r>
          </w:p>
        </w:tc>
        <w:tc>
          <w:tcPr>
            <w:tcW w:w="3139" w:type="dxa"/>
          </w:tcPr>
          <w:p w14:paraId="71006FF4" w14:textId="77777777" w:rsidR="00070DF0" w:rsidRPr="005550AF" w:rsidRDefault="00070DF0" w:rsidP="00497FFE">
            <w:pPr>
              <w:spacing w:line="240" w:lineRule="auto"/>
              <w:ind w:right="61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УК-6.1. Определяет уровень самооценки и уровень финансовых притязаний, приоритетов собственной деятельности, личностного развития и профессионального роста. </w:t>
            </w:r>
          </w:p>
        </w:tc>
      </w:tr>
      <w:tr w:rsidR="00070DF0" w:rsidRPr="005C5B3D" w14:paraId="221F6A1C" w14:textId="77777777" w:rsidTr="00497FFE">
        <w:trPr>
          <w:trHeight w:val="412"/>
        </w:trPr>
        <w:tc>
          <w:tcPr>
            <w:tcW w:w="3111" w:type="dxa"/>
            <w:vMerge/>
          </w:tcPr>
          <w:p w14:paraId="32829688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56D5B07A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5EE026B0" w14:textId="77777777" w:rsidR="00070DF0" w:rsidRPr="005550AF" w:rsidRDefault="00070DF0" w:rsidP="00497FFE">
            <w:pPr>
              <w:spacing w:line="240" w:lineRule="auto"/>
              <w:ind w:right="59" w:firstLine="0"/>
              <w:rPr>
                <w:color w:val="000000"/>
                <w:sz w:val="23"/>
                <w:szCs w:val="23"/>
                <w:lang w:val="ru-RU" w:eastAsia="ru-RU"/>
              </w:rPr>
            </w:pPr>
            <w:r w:rsidRPr="005550AF">
              <w:rPr>
                <w:color w:val="000000"/>
                <w:sz w:val="23"/>
                <w:szCs w:val="23"/>
                <w:lang w:val="ru-RU" w:eastAsia="ru-RU"/>
              </w:rPr>
              <w:t xml:space="preserve">УК-6.2. Оценивает собственные личные и профессиональные качества и ресурсы, выбирать цели личностного и </w:t>
            </w:r>
          </w:p>
          <w:p w14:paraId="58391D21" w14:textId="77777777" w:rsidR="00070DF0" w:rsidRPr="005550AF" w:rsidRDefault="00070DF0" w:rsidP="00497FFE">
            <w:pPr>
              <w:pStyle w:val="ConsPlusNormal"/>
              <w:jc w:val="both"/>
              <w:rPr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профессионального развития, способы их достижения и преодоления личностных ограничений на пути достижения поставленной </w:t>
            </w:r>
            <w:r w:rsidRPr="005550AF">
              <w:rPr>
                <w:color w:val="000000"/>
                <w:sz w:val="23"/>
                <w:szCs w:val="23"/>
              </w:rPr>
              <w:lastRenderedPageBreak/>
              <w:t xml:space="preserve">цели, выстраивать и реализовывать траекторию саморазвития. </w:t>
            </w:r>
          </w:p>
        </w:tc>
      </w:tr>
      <w:tr w:rsidR="00070DF0" w:rsidRPr="005C5B3D" w14:paraId="55F8C892" w14:textId="77777777" w:rsidTr="00497FFE">
        <w:trPr>
          <w:trHeight w:val="2047"/>
        </w:trPr>
        <w:tc>
          <w:tcPr>
            <w:tcW w:w="3111" w:type="dxa"/>
            <w:vMerge/>
            <w:vAlign w:val="bottom"/>
          </w:tcPr>
          <w:p w14:paraId="2A3675F6" w14:textId="77777777" w:rsidR="00070DF0" w:rsidRPr="005550AF" w:rsidRDefault="00070DF0" w:rsidP="00497FFE">
            <w:pPr>
              <w:pStyle w:val="ConsPlusNormal"/>
              <w:rPr>
                <w:sz w:val="23"/>
                <w:szCs w:val="23"/>
              </w:rPr>
            </w:pPr>
          </w:p>
        </w:tc>
        <w:tc>
          <w:tcPr>
            <w:tcW w:w="3095" w:type="dxa"/>
            <w:vMerge/>
          </w:tcPr>
          <w:p w14:paraId="06582447" w14:textId="77777777" w:rsidR="00070DF0" w:rsidRPr="005550AF" w:rsidRDefault="00070DF0" w:rsidP="00497FFE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3"/>
                <w:szCs w:val="23"/>
              </w:rPr>
            </w:pPr>
          </w:p>
        </w:tc>
        <w:tc>
          <w:tcPr>
            <w:tcW w:w="3139" w:type="dxa"/>
          </w:tcPr>
          <w:p w14:paraId="7E747D53" w14:textId="77777777" w:rsidR="00070DF0" w:rsidRPr="005550AF" w:rsidRDefault="00070DF0" w:rsidP="00497FFE">
            <w:pPr>
              <w:pStyle w:val="ConsPlusNormal"/>
              <w:jc w:val="both"/>
              <w:rPr>
                <w:iCs/>
                <w:sz w:val="23"/>
                <w:szCs w:val="23"/>
              </w:rPr>
            </w:pPr>
            <w:r w:rsidRPr="005550AF">
              <w:rPr>
                <w:color w:val="000000"/>
                <w:sz w:val="23"/>
                <w:szCs w:val="23"/>
              </w:rPr>
              <w:t xml:space="preserve">УК-6.3. Ориентируется на рынке труда и образовательных услуг, оценивает его требования для выстраивания траектории собственного профессионального роста. </w:t>
            </w:r>
          </w:p>
        </w:tc>
      </w:tr>
    </w:tbl>
    <w:p w14:paraId="443366C6" w14:textId="77777777" w:rsidR="00ED6685" w:rsidRPr="00070DF0" w:rsidRDefault="00ED6685">
      <w:pPr>
        <w:rPr>
          <w:lang w:val="ru-RU"/>
        </w:rPr>
      </w:pPr>
    </w:p>
    <w:sectPr w:rsidR="00ED6685" w:rsidRPr="00070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DF0"/>
    <w:rsid w:val="00070DF0"/>
    <w:rsid w:val="002525AB"/>
    <w:rsid w:val="005C5B3D"/>
    <w:rsid w:val="00ED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CED9"/>
  <w15:chartTrackingRefBased/>
  <w15:docId w15:val="{2493D21E-9DA6-4830-94C9-AD924C428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DF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70D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0">
    <w:name w:val="consplusnormal"/>
    <w:basedOn w:val="a"/>
    <w:rsid w:val="00070DF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99"/>
    <w:rsid w:val="00070DF0"/>
    <w:pPr>
      <w:widowControl w:val="0"/>
      <w:autoSpaceDE w:val="0"/>
      <w:autoSpaceDN w:val="0"/>
      <w:spacing w:line="240" w:lineRule="auto"/>
      <w:ind w:firstLine="0"/>
      <w:jc w:val="left"/>
    </w:pPr>
    <w:rPr>
      <w:sz w:val="22"/>
      <w:lang w:val="ru-RU" w:eastAsia="ru-RU"/>
    </w:rPr>
  </w:style>
  <w:style w:type="table" w:styleId="a3">
    <w:name w:val="Table Grid"/>
    <w:basedOn w:val="a1"/>
    <w:uiPriority w:val="59"/>
    <w:rsid w:val="00070DF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Zametta</dc:creator>
  <cp:keywords/>
  <dc:description/>
  <cp:lastModifiedBy>Asus</cp:lastModifiedBy>
  <cp:revision>3</cp:revision>
  <dcterms:created xsi:type="dcterms:W3CDTF">2023-07-06T12:57:00Z</dcterms:created>
  <dcterms:modified xsi:type="dcterms:W3CDTF">2023-07-07T13:45:00Z</dcterms:modified>
</cp:coreProperties>
</file>